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F1A55" w14:textId="77777777" w:rsidR="00ED6110" w:rsidRDefault="00ED6110" w:rsidP="00ED6110">
      <w:pPr>
        <w:pStyle w:val="Normlny1"/>
        <w:spacing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 ô v o d o v á   s p r á v a</w:t>
      </w:r>
    </w:p>
    <w:p w14:paraId="0C21FD1C" w14:textId="77777777" w:rsidR="00ED6110" w:rsidRDefault="00ED6110" w:rsidP="00ED6110">
      <w:pPr>
        <w:pStyle w:val="Normlny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p>
    <w:p w14:paraId="0EF7C090" w14:textId="77777777" w:rsidR="00ED6110" w:rsidRDefault="00ED6110" w:rsidP="00ED6110">
      <w:pPr>
        <w:pStyle w:val="Normlny1"/>
        <w:numPr>
          <w:ilvl w:val="0"/>
          <w:numId w:val="1"/>
        </w:num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Všeobecná časť</w:t>
      </w:r>
    </w:p>
    <w:p w14:paraId="51A3204A" w14:textId="77777777" w:rsidR="00ED6110" w:rsidRDefault="00ED6110" w:rsidP="00ED6110">
      <w:pPr>
        <w:pStyle w:val="Normlny1"/>
        <w:spacing w:line="240" w:lineRule="auto"/>
        <w:jc w:val="both"/>
        <w:rPr>
          <w:rFonts w:ascii="Times New Roman" w:eastAsia="Times New Roman" w:hAnsi="Times New Roman" w:cs="Times New Roman"/>
          <w:b/>
          <w:bCs/>
          <w:sz w:val="24"/>
          <w:szCs w:val="24"/>
        </w:rPr>
      </w:pPr>
    </w:p>
    <w:p w14:paraId="7A1A97C3"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Návrh ústavného zákona, ktorým sa mení ústavný zákon č. 493/2011 Z. z. o rozpočtovej zodpovednosti (ďalej len „ústavný zákon"), predkladajú na rokovanie Národnej rady Slovenskej republiky poslanci Národnej rady Slovenskej republiky Ondrej Dostál, Marián Viskupič, Martina </w:t>
      </w:r>
      <w:proofErr w:type="spellStart"/>
      <w:r>
        <w:rPr>
          <w:rFonts w:ascii="Times New Roman" w:eastAsia="Times New Roman" w:hAnsi="Times New Roman" w:cs="Times New Roman"/>
          <w:sz w:val="24"/>
          <w:szCs w:val="24"/>
        </w:rPr>
        <w:t>Bajo</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Holečková</w:t>
      </w:r>
      <w:proofErr w:type="spellEnd"/>
      <w:r>
        <w:rPr>
          <w:rFonts w:ascii="Times New Roman" w:eastAsia="Times New Roman" w:hAnsi="Times New Roman" w:cs="Times New Roman"/>
          <w:sz w:val="24"/>
          <w:szCs w:val="24"/>
        </w:rPr>
        <w:t xml:space="preserve">, Mária Kolíková, Juraj Krúpa, Vladimír </w:t>
      </w:r>
      <w:proofErr w:type="spellStart"/>
      <w:r>
        <w:rPr>
          <w:rFonts w:ascii="Times New Roman" w:eastAsia="Times New Roman" w:hAnsi="Times New Roman" w:cs="Times New Roman"/>
          <w:sz w:val="24"/>
          <w:szCs w:val="24"/>
        </w:rPr>
        <w:t>Ledecký</w:t>
      </w:r>
      <w:proofErr w:type="spellEnd"/>
      <w:r>
        <w:rPr>
          <w:rFonts w:ascii="Times New Roman" w:eastAsia="Times New Roman" w:hAnsi="Times New Roman" w:cs="Times New Roman"/>
          <w:sz w:val="24"/>
          <w:szCs w:val="24"/>
        </w:rPr>
        <w:t xml:space="preserve"> a Vladimíra </w:t>
      </w:r>
      <w:proofErr w:type="spellStart"/>
      <w:r>
        <w:rPr>
          <w:rFonts w:ascii="Times New Roman" w:eastAsia="Times New Roman" w:hAnsi="Times New Roman" w:cs="Times New Roman"/>
          <w:sz w:val="24"/>
          <w:szCs w:val="24"/>
        </w:rPr>
        <w:t>Marcinková</w:t>
      </w:r>
      <w:proofErr w:type="spellEnd"/>
      <w:r>
        <w:rPr>
          <w:rFonts w:ascii="Times New Roman" w:eastAsia="Times New Roman" w:hAnsi="Times New Roman" w:cs="Times New Roman"/>
          <w:sz w:val="24"/>
          <w:szCs w:val="24"/>
        </w:rPr>
        <w:t>.</w:t>
      </w:r>
    </w:p>
    <w:p w14:paraId="693D0EB8"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Cieľom navrhovanej právnej úpravy je vyňať územnú samosprávu — obce, mestá a vyššie územné celky — z tých ustanovení sankčného mechanizmu dlhovej brzdy podľa čl. 5 a čl. 12 ústavného zákona, ktoré jej ukladajú povinnosť schváliť vyrovnaný alebo prebytkový rozpočet a povinnosť rozpočtovať výdavky maximálne vo výške výdavkov predchádzajúceho rozpočtového roka. </w:t>
      </w:r>
      <w:r>
        <w:rPr>
          <w:rFonts w:ascii="Times New Roman" w:eastAsia="Times New Roman" w:hAnsi="Times New Roman" w:cs="Times New Roman"/>
          <w:sz w:val="24"/>
          <w:szCs w:val="24"/>
        </w:rPr>
        <w:t>Sankcie voči vláde a ostatné ustanovenia dlhovej brzdy ostávajú nedotknuté; rovnako sa zachováva systém pokút voči obciam a vyšším územným celkom podľa čl. 6 ústavného zákona pri prekročení ich vlastných dlhových limitov.</w:t>
      </w:r>
    </w:p>
    <w:p w14:paraId="666AA4D9"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Pri prijímaní ústavného zákona v roku 2011 sa v dôvodovej správe zdôrazňovalo, že cieľom úpravy bolo „vytvoriť silnejší mechanizmus záväzkov aktuálnej vlády, kde odklon od princípov zodpovednej rozpočtovej politiky znamená okrem politického </w:t>
      </w:r>
      <w:proofErr w:type="spellStart"/>
      <w:r>
        <w:rPr>
          <w:rFonts w:ascii="Times New Roman" w:eastAsia="Times New Roman" w:hAnsi="Times New Roman" w:cs="Times New Roman"/>
          <w:sz w:val="24"/>
          <w:szCs w:val="24"/>
        </w:rPr>
        <w:t>reputačného</w:t>
      </w:r>
      <w:proofErr w:type="spellEnd"/>
      <w:r>
        <w:rPr>
          <w:rFonts w:ascii="Times New Roman" w:eastAsia="Times New Roman" w:hAnsi="Times New Roman" w:cs="Times New Roman"/>
          <w:sz w:val="24"/>
          <w:szCs w:val="24"/>
        </w:rPr>
        <w:t xml:space="preserve"> rizika aj nástup povinnosti uskutočniť ustanovené opatrenia a v niektorých prípadoch vyvodenie priameho represívneho postihu v podobe nielen finančných sankcií, ale aplikácie komplexného ‚sankčného‘ mechanizmu”. Ústavným zákonom sa malo zároveň dosiahnuť „sprísnenie rozpočtových pravidiel pre územnú samosprávu, ktorá je súčasťou rozpočtu verejnej správy".</w:t>
      </w:r>
    </w:p>
    <w:p w14:paraId="24430A47"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Pravdou však je — a platilo to už v roku 2011 — že územná samospráva má od roku 2005 podstatne prísnejšie zákonné pravidlá rozpočtového hospodárenia, než platia pre centrálnu vládu. Podľa § 17 ods. 6 zákona č. 583/2004 Z. z. o rozpočtových pravidlách územnej samosprávy a o zmene a doplnení niektorých zákonov môže obec a vyšší územný celok prijať návratné zdroje financovania, len ak (a) celková suma dlhu obce alebo vyššieho územného celku neprekročí 60 % skutočných bežných príjmov predchádzajúceho rozpočtového roka a (b) suma splátok návratných zdrojov financovania, vrátane úhrady výnosov a suma splátok záväzkov z investičných dodávateľských úverov neprekročí v príslušnom rozpočtovom roku 25 % skutočných bežných príjmov predchádzajúceho rozpočtového roka znížených o transfery z iných subjektov verejnej správy a prostriedky z Európskej únie. Pri nedodržaní týchto pravidiel sa podľa § 19 toho istého zákona aplikuje ozdravný režim alebo nútená správa, ktorú realizuje Ministerstvo financií Slovenskej republiky.</w:t>
      </w:r>
    </w:p>
    <w:p w14:paraId="3AEDF96B"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Tento režim sa za viac ako dvadsať rokov svojej aplikácie osvedčil. Zadlženie územnej samosprávy ostalo vo vymedzených rámcoch a na celkovom dlhu verejnej správy sa podieľa nepatrne. Rada pre rozpočtovú zodpovednosť (ďalej len „RRZ") vo svojom stanovisku z júla 2025</w:t>
      </w:r>
      <w:r>
        <w:rPr>
          <w:rFonts w:ascii="Times New Roman" w:eastAsia="Times New Roman" w:hAnsi="Times New Roman" w:cs="Times New Roman"/>
          <w:sz w:val="24"/>
          <w:szCs w:val="24"/>
          <w:vertAlign w:val="superscript"/>
        </w:rPr>
        <w:footnoteReference w:id="1"/>
      </w:r>
      <w:r>
        <w:rPr>
          <w:rFonts w:ascii="Times New Roman" w:eastAsia="Times New Roman" w:hAnsi="Times New Roman" w:cs="Times New Roman"/>
          <w:sz w:val="24"/>
          <w:szCs w:val="24"/>
        </w:rPr>
        <w:t xml:space="preserve"> uvádza, že „celkový dlh samospráv tvorí iba približne 2 % hrubého dlhu verejnej správy (ide o 1,6 mld. eur z 77,6 mld. eur na konci roku 2024)". Územná samospráva teda nepatrí medzi pôvodcov nárastu verejného dlhu, ktorý spustil aplikáciu sankčných pásiem dlhovej brzdy.</w:t>
      </w:r>
    </w:p>
    <w:p w14:paraId="56865D7B"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V tomto kontexte je súčasná aplikácia najtvrdšieho sankčného pásma dlhovej brzdy voči samosprávam neprimeraná. Obce, mestá a samosprávne kraje sú nútené schvaľovať vyrovnaný alebo prebytkový rozpočet a držať výdavky na úrovni predchádzajúceho roka bez ohľadu na to, že na zhoršení verejných financií nemajú podiel a že ich vlastné dlhové pravidlá sú prísnejšie ako pravidlá platné pre vládu. Ide doslova o trestanie subjektu, ktorý za nelichotivý stav verejných financií nezodpovedá a ktorý k nemu vlastným nezodpovedným spravovaním verejných prostriedkov neprispel — a to vládou, ktorá je sama priamo zodpovedná za nárast dlhu (a ktorá doposiaľ nesplnila ani povinnosť požiadať národnú radu o vyslovenie dôvery podľa čl. 5 ods. 8 ústavného zákona).</w:t>
      </w:r>
    </w:p>
    <w:p w14:paraId="7BBD08D4"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RRZ v citovanom stanovisku ako najvhodnejšie riešenie odporúča „včasnú novelizáciu ústavného zákona o rozpočtovej zodpovednosti" — konkrétne „úplné vypustenie povinnosti schváliť vyrovnaný alebo prebytkový rozpočet (čl. 5 ods. 7 písm. b a čl. 12 ods. 6 písm. b), ako aj povinnosti mať rozpočtované nerastúce výdavky (čl. 5 ods. 6 písm. d a čl. 12 ods. 5 písm. d)". Článok 12 je však </w:t>
      </w:r>
      <w:proofErr w:type="spellStart"/>
      <w:r>
        <w:rPr>
          <w:rFonts w:ascii="Times New Roman" w:eastAsia="Times New Roman" w:hAnsi="Times New Roman" w:cs="Times New Roman"/>
          <w:sz w:val="24"/>
          <w:szCs w:val="24"/>
        </w:rPr>
        <w:t>obsolétny</w:t>
      </w:r>
      <w:proofErr w:type="spellEnd"/>
      <w:r>
        <w:rPr>
          <w:rFonts w:ascii="Times New Roman" w:eastAsia="Times New Roman" w:hAnsi="Times New Roman" w:cs="Times New Roman"/>
          <w:sz w:val="24"/>
          <w:szCs w:val="24"/>
        </w:rPr>
        <w:t xml:space="preserve">, pretože jeho účinnosť bola stanovená do 31. decembra 2017. Z dôvodu jeho aktuálnej neúčinnosti preto nie je nutné ho upravovať. </w:t>
      </w:r>
    </w:p>
    <w:p w14:paraId="1E08A25B"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Avšak článok 13 priamo odkazuje na článok 12, je aktuálne účinný a vzťahuje sa na rozpočtové roky 2018 až koniec roka 2027, teda je nutná jeho úprava sledujúca cieľ deklarovaný RRZ, a to vypustenie odkazu na čl. 12 ods. 5 písm. d) a 12 ods. 6 </w:t>
      </w:r>
      <w:proofErr w:type="spellStart"/>
      <w:r>
        <w:rPr>
          <w:rFonts w:ascii="Times New Roman" w:eastAsia="Times New Roman" w:hAnsi="Times New Roman" w:cs="Times New Roman"/>
          <w:sz w:val="24"/>
          <w:szCs w:val="24"/>
        </w:rPr>
        <w:t>písm</w:t>
      </w:r>
      <w:proofErr w:type="spellEnd"/>
      <w:r>
        <w:rPr>
          <w:rFonts w:ascii="Times New Roman" w:eastAsia="Times New Roman" w:hAnsi="Times New Roman" w:cs="Times New Roman"/>
          <w:sz w:val="24"/>
          <w:szCs w:val="24"/>
        </w:rPr>
        <w:t xml:space="preserve"> b). </w:t>
      </w:r>
    </w:p>
    <w:p w14:paraId="4C4941EB"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Predložený návrh bude mať pozitívny vplyv na služby verejnej správy, nebude mať vplyv na rozpočet verejnej správy, podnikateľské prostredie, sociálne vplyvy, informatizáciu spoločnosti, životné prostredie, manželstvo, rodičovstvo ani rodinu.</w:t>
      </w:r>
    </w:p>
    <w:p w14:paraId="3172AB70"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Návrh je v súlade s Ústavou Slovenskej republiky, ústavnými zákonmi, medzinárodnými zmluvami, ktorými je Slovenská republika viazaná, a právom Európskej únie.</w:t>
      </w:r>
    </w:p>
    <w:p w14:paraId="1727C414"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p>
    <w:p w14:paraId="6B99E551"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p>
    <w:p w14:paraId="09FF3B28"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p>
    <w:p w14:paraId="1F8D2235"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p>
    <w:p w14:paraId="04661955"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p>
    <w:p w14:paraId="5BE68FB2"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p>
    <w:p w14:paraId="372373E2"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p>
    <w:p w14:paraId="6621853C"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p>
    <w:p w14:paraId="2F012A5C"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p>
    <w:p w14:paraId="5AC2E3E9"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p>
    <w:p w14:paraId="01AE4F58"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p>
    <w:p w14:paraId="17269373" w14:textId="77777777" w:rsidR="00ED6110" w:rsidRDefault="00ED6110" w:rsidP="00ED6110">
      <w:pPr>
        <w:pStyle w:val="Normlny1"/>
        <w:spacing w:before="240" w:after="240" w:line="240" w:lineRule="auto"/>
        <w:ind w:firstLine="720"/>
        <w:jc w:val="both"/>
        <w:rPr>
          <w:rFonts w:ascii="Times New Roman" w:eastAsia="Times New Roman" w:hAnsi="Times New Roman" w:cs="Times New Roman"/>
          <w:sz w:val="24"/>
          <w:szCs w:val="24"/>
        </w:rPr>
      </w:pPr>
    </w:p>
    <w:p w14:paraId="3DF36A43" w14:textId="77777777" w:rsidR="00ED6110" w:rsidRDefault="00ED6110" w:rsidP="00ED6110">
      <w:pPr>
        <w:pStyle w:val="Normlny1"/>
        <w:numPr>
          <w:ilvl w:val="0"/>
          <w:numId w:val="1"/>
        </w:num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Osobitná časť </w:t>
      </w:r>
    </w:p>
    <w:p w14:paraId="3E4061C2" w14:textId="77777777" w:rsidR="00ED6110" w:rsidRDefault="00ED6110" w:rsidP="00ED6110">
      <w:pPr>
        <w:pStyle w:val="Normlny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 čl. I</w:t>
      </w:r>
    </w:p>
    <w:p w14:paraId="46F32C03" w14:textId="77777777" w:rsidR="00ED6110" w:rsidRDefault="00ED6110" w:rsidP="00ED6110">
      <w:pPr>
        <w:pStyle w:val="Normlny1"/>
        <w:rPr>
          <w:rFonts w:ascii="Times New Roman" w:eastAsia="Times New Roman" w:hAnsi="Times New Roman" w:cs="Times New Roman"/>
          <w:b/>
          <w:bCs/>
          <w:sz w:val="24"/>
          <w:szCs w:val="24"/>
        </w:rPr>
      </w:pPr>
    </w:p>
    <w:p w14:paraId="79EC5570" w14:textId="77777777" w:rsidR="00ED6110" w:rsidRDefault="00ED6110" w:rsidP="00ED6110">
      <w:pPr>
        <w:pStyle w:val="Normlny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 bodu 1</w:t>
      </w:r>
    </w:p>
    <w:p w14:paraId="7A96AE88" w14:textId="77777777" w:rsidR="00ED6110" w:rsidRDefault="00ED6110" w:rsidP="00ED6110">
      <w:pPr>
        <w:pStyle w:val="Normlny1"/>
        <w:rPr>
          <w:rFonts w:ascii="Times New Roman" w:eastAsia="Times New Roman" w:hAnsi="Times New Roman" w:cs="Times New Roman"/>
          <w:b/>
          <w:bCs/>
          <w:sz w:val="24"/>
          <w:szCs w:val="24"/>
        </w:rPr>
      </w:pPr>
    </w:p>
    <w:p w14:paraId="01B29990" w14:textId="77777777" w:rsidR="00ED6110" w:rsidRDefault="00ED6110" w:rsidP="00ED6110">
      <w:pPr>
        <w:pStyle w:val="Normlny1"/>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 čl. 5 ods. 6 sa vypúšťa písmeno d), ktoré obciam a vyšším územným celkom v sankčnom pásme 45 % – 47 % podielu dlhu na hrubom domácom produkte ukladá povinnosť schváliť rozpočet na nasledujúci rozpočtový rok s výdavkami maximálne vo výške výdavkov rozpočtu predchádzajúceho rozpočtového roka. Ostatné opatrenia podľa čl. 5 ods. 6 zamerané na vládu a štátny rozpočet — viazanie výdavkov ministerstvom financií, zákaz poskytovania prostriedkov z rezerv vlády a zákaz medziročného nominálneho rastu konsolidovaných výdavkov verejnej správy — ostávajú zachované. Dôvody vypustenia sú uvedené vo všeobecnej časti dôvodovej správy.</w:t>
      </w:r>
    </w:p>
    <w:p w14:paraId="3BB9CA0F" w14:textId="77777777" w:rsidR="00ED6110" w:rsidRDefault="00ED6110" w:rsidP="00ED6110">
      <w:pPr>
        <w:pStyle w:val="Normlny1"/>
        <w:rPr>
          <w:rFonts w:ascii="Times New Roman" w:eastAsia="Times New Roman" w:hAnsi="Times New Roman" w:cs="Times New Roman"/>
          <w:b/>
          <w:bCs/>
          <w:sz w:val="24"/>
          <w:szCs w:val="24"/>
        </w:rPr>
      </w:pPr>
    </w:p>
    <w:p w14:paraId="61896363" w14:textId="77777777" w:rsidR="00ED6110" w:rsidRDefault="00ED6110" w:rsidP="00ED6110">
      <w:pPr>
        <w:pStyle w:val="Normlny1"/>
        <w:rPr>
          <w:rFonts w:ascii="Times New Roman" w:eastAsia="Times New Roman" w:hAnsi="Times New Roman" w:cs="Times New Roman"/>
          <w:b/>
          <w:bCs/>
          <w:sz w:val="24"/>
          <w:szCs w:val="24"/>
        </w:rPr>
      </w:pPr>
    </w:p>
    <w:p w14:paraId="6EB6B7CF" w14:textId="77777777" w:rsidR="00ED6110" w:rsidRDefault="00ED6110" w:rsidP="00ED6110">
      <w:pPr>
        <w:pStyle w:val="Normlny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 bodu 2</w:t>
      </w:r>
    </w:p>
    <w:p w14:paraId="72B68126" w14:textId="77777777" w:rsidR="00ED6110" w:rsidRDefault="00ED6110" w:rsidP="00ED6110">
      <w:pPr>
        <w:pStyle w:val="Normlny1"/>
        <w:rPr>
          <w:rFonts w:ascii="Times New Roman" w:eastAsia="Times New Roman" w:hAnsi="Times New Roman" w:cs="Times New Roman"/>
          <w:b/>
          <w:bCs/>
          <w:sz w:val="24"/>
          <w:szCs w:val="24"/>
        </w:rPr>
      </w:pPr>
    </w:p>
    <w:p w14:paraId="5E857FDF" w14:textId="77777777" w:rsidR="00ED6110" w:rsidRDefault="00ED6110" w:rsidP="00ED6110">
      <w:pPr>
        <w:pStyle w:val="Normlny1"/>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 čl. 5 ods. 7 sa vypúšťa písmeno b), ktoré obciam a vyšším územným celkom v sankčnom pásme 47 % – 50 % podielu dlhu na hrubom domácom produkte ukladá povinnosť schváliť na nasledujúci rozpočtový rok iba vyrovnaný alebo prebytkový rozpočet. </w:t>
      </w:r>
    </w:p>
    <w:p w14:paraId="42876B99" w14:textId="77777777" w:rsidR="00ED6110" w:rsidRDefault="00ED6110" w:rsidP="00ED6110">
      <w:pPr>
        <w:pStyle w:val="Normlny1"/>
        <w:jc w:val="both"/>
        <w:rPr>
          <w:rFonts w:ascii="Times New Roman" w:eastAsia="Times New Roman" w:hAnsi="Times New Roman" w:cs="Times New Roman"/>
          <w:sz w:val="24"/>
          <w:szCs w:val="24"/>
        </w:rPr>
      </w:pPr>
    </w:p>
    <w:p w14:paraId="6037A166" w14:textId="77777777" w:rsidR="00ED6110" w:rsidRDefault="00ED6110" w:rsidP="00ED6110">
      <w:pPr>
        <w:pStyle w:val="Normlny1"/>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Vzhľadom na to, že po vypustení písmena b) by v odseku 7 zostal len jeden text, súčasne sa z dôvodu legislatívnej techniky zrušuje aj označenie písmena a). Vecne sa v plnom rozsahu zachováva pravidlo voči vláde, podľa ktorého vláda v tomto sankčnom pásme nesmie predložiť návrh rozpočtu verejnej správy s rozpočtovaným schodkom, a ak takýto návrh už predložila, je povinná stiahnuť ho z rokovania národnej rady a do 30 dní predložiť návrh rozpočtu verejnej správy súladný s ustanovenými podmienkami. Dôvody vypustenia sú uvedené vo všeobecnej časti dôvodovej správy.</w:t>
      </w:r>
    </w:p>
    <w:p w14:paraId="5137B792" w14:textId="77777777" w:rsidR="00ED6110" w:rsidRDefault="00ED6110" w:rsidP="00ED6110">
      <w:pPr>
        <w:pStyle w:val="Normlny1"/>
        <w:rPr>
          <w:rFonts w:ascii="Times New Roman" w:eastAsia="Times New Roman" w:hAnsi="Times New Roman" w:cs="Times New Roman"/>
          <w:b/>
          <w:bCs/>
          <w:sz w:val="24"/>
          <w:szCs w:val="24"/>
        </w:rPr>
      </w:pPr>
    </w:p>
    <w:p w14:paraId="618A3CFF" w14:textId="77777777" w:rsidR="00ED6110" w:rsidRDefault="00ED6110" w:rsidP="00ED6110">
      <w:pPr>
        <w:pStyle w:val="Normlny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 bodu 3</w:t>
      </w:r>
    </w:p>
    <w:p w14:paraId="0F52DE21" w14:textId="77777777" w:rsidR="00ED6110" w:rsidRDefault="00ED6110" w:rsidP="00ED6110">
      <w:pPr>
        <w:pStyle w:val="Normlny1"/>
        <w:rPr>
          <w:rFonts w:ascii="Times New Roman" w:eastAsia="Times New Roman" w:hAnsi="Times New Roman" w:cs="Times New Roman"/>
          <w:b/>
          <w:bCs/>
          <w:sz w:val="24"/>
          <w:szCs w:val="24"/>
        </w:rPr>
      </w:pPr>
    </w:p>
    <w:p w14:paraId="79204325" w14:textId="77777777" w:rsidR="00ED6110" w:rsidRDefault="00ED6110" w:rsidP="00ED6110">
      <w:pPr>
        <w:pStyle w:val="Normlny1"/>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Čl. 13 ústavného zákona ustanovuje, že počnúc rozpočtovým rokom 2018 a do konca rozpočtového roka 2027 sa horný limit dlhu verejnej správy znižuje o jeden percentuálny bod ročne, pričom sa v tomto období uplatňujú „rovnaké opatrenia, ako sú uvedené v čl. 12 ods. 3 až 7" — so zodpovedajúcim posunom prahov o jeden percentuálny bod ročne. Hoci samotný čl. 12 stratil priamu účinnosť 31. decembra 2017, jeho ustanovenia naďalej tvoria pre prechodné obdobie do konca rozpočtového roka 2027 obsahový základ sankčného mechanizmu prostredníctvom odkazu v čl. 13. Bez úpravy čl. 13 by tak povinnosti obcí a vyšších územných celkov podľa čl. 12 ods. 5 písm. d) (povinnosť rozpočtovať výdavky maximálne vo výške výdavkov predchádzajúceho rozpočtového roka) a podľa čl. 12 ods. 6 písm. b) (povinnosť schváliť iba vyrovnaný alebo prebytkový rozpočet) ďalej platili v prechodnom období do konca rozpočtového roka 2027, čo je v rozpore s cieľom tohto návrhu. Úpravou odkazu v čl. 13 sa preto z aplikácie v prechodnom období vyníma čl. 12 ods. 5 písm. d) aj čl. 12 ods. 6 písm. b); </w:t>
      </w:r>
      <w:r>
        <w:rPr>
          <w:rFonts w:ascii="Times New Roman" w:eastAsia="Times New Roman" w:hAnsi="Times New Roman" w:cs="Times New Roman"/>
          <w:sz w:val="24"/>
          <w:szCs w:val="24"/>
        </w:rPr>
        <w:lastRenderedPageBreak/>
        <w:t>naďalej sa uplatňujú ostatné opatrenia uvedené v čl. 12 ods. 3, 4, 5 písm. a) až c), ods. 6 písm. a) a ods. 7, ktoré sa týkajú vlády a štátneho rozpočtu. Dôvody vyňatia uvedených povinností samospráv sú uvedené vo všeobecnej časti dôvodovej správy.</w:t>
      </w:r>
    </w:p>
    <w:p w14:paraId="65BCD441" w14:textId="77777777" w:rsidR="00ED6110" w:rsidRDefault="00ED6110" w:rsidP="00ED6110">
      <w:pPr>
        <w:pStyle w:val="Normlny1"/>
        <w:rPr>
          <w:rFonts w:ascii="Times New Roman" w:eastAsia="Times New Roman" w:hAnsi="Times New Roman" w:cs="Times New Roman"/>
          <w:b/>
          <w:bCs/>
          <w:sz w:val="24"/>
          <w:szCs w:val="24"/>
        </w:rPr>
      </w:pPr>
    </w:p>
    <w:p w14:paraId="1827BE86" w14:textId="77777777" w:rsidR="00ED6110" w:rsidRDefault="00ED6110" w:rsidP="00ED6110">
      <w:pPr>
        <w:pStyle w:val="Normlny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 čl. II</w:t>
      </w:r>
    </w:p>
    <w:p w14:paraId="47C4C64A" w14:textId="77777777" w:rsidR="00ED6110" w:rsidRDefault="00ED6110" w:rsidP="00ED6110">
      <w:pPr>
        <w:pStyle w:val="Normlny1"/>
        <w:rPr>
          <w:rFonts w:ascii="Times New Roman" w:eastAsia="Times New Roman" w:hAnsi="Times New Roman" w:cs="Times New Roman"/>
          <w:b/>
          <w:bCs/>
          <w:sz w:val="24"/>
          <w:szCs w:val="24"/>
        </w:rPr>
      </w:pPr>
    </w:p>
    <w:p w14:paraId="234AF388" w14:textId="62F7D3C8" w:rsidR="007876F7" w:rsidRDefault="00ED6110" w:rsidP="00ED6110">
      <w:r>
        <w:rPr>
          <w:rFonts w:ascii="Times New Roman" w:eastAsia="Times New Roman" w:hAnsi="Times New Roman" w:cs="Times New Roman"/>
          <w:b/>
          <w:bCs/>
          <w:sz w:val="24"/>
          <w:szCs w:val="24"/>
        </w:rPr>
        <w:tab/>
      </w:r>
      <w:r>
        <w:rPr>
          <w:rFonts w:ascii="Times New Roman" w:eastAsia="Times New Roman" w:hAnsi="Times New Roman" w:cs="Times New Roman"/>
          <w:sz w:val="24"/>
          <w:szCs w:val="24"/>
        </w:rPr>
        <w:t>Vzhľadom na to, že súčasné fiškálne podmienky vedú k aplikácii najtvrdšieho sankčného pásma dlhovej brzdy a územné samosprávy sú týmto sankčným režimom bezprostredne dotknuté pri zostavovaní rozpočtov na nasledujúci rozpočtový rok (2027), navrhuje sa účinnosť ústavného zákona dňom vyhlásenia.</w:t>
      </w:r>
      <w:r>
        <w:br w:type="page"/>
      </w:r>
    </w:p>
    <w:sectPr w:rsidR="007876F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A2CF2" w14:textId="77777777" w:rsidR="00E82602" w:rsidRDefault="00E82602" w:rsidP="00ED6110">
      <w:pPr>
        <w:spacing w:line="240" w:lineRule="auto"/>
      </w:pPr>
      <w:r>
        <w:separator/>
      </w:r>
    </w:p>
  </w:endnote>
  <w:endnote w:type="continuationSeparator" w:id="0">
    <w:p w14:paraId="3ABB0386" w14:textId="77777777" w:rsidR="00E82602" w:rsidRDefault="00E82602" w:rsidP="00ED61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46225" w14:textId="77777777" w:rsidR="00E82602" w:rsidRDefault="00E82602" w:rsidP="00ED6110">
      <w:pPr>
        <w:spacing w:line="240" w:lineRule="auto"/>
      </w:pPr>
      <w:r>
        <w:separator/>
      </w:r>
    </w:p>
  </w:footnote>
  <w:footnote w:type="continuationSeparator" w:id="0">
    <w:p w14:paraId="37871B99" w14:textId="77777777" w:rsidR="00E82602" w:rsidRDefault="00E82602" w:rsidP="00ED6110">
      <w:pPr>
        <w:spacing w:line="240" w:lineRule="auto"/>
      </w:pPr>
      <w:r>
        <w:continuationSeparator/>
      </w:r>
    </w:p>
  </w:footnote>
  <w:footnote w:id="1">
    <w:p w14:paraId="588483C2" w14:textId="77777777" w:rsidR="00ED6110" w:rsidRDefault="00ED6110" w:rsidP="00ED6110">
      <w:pPr>
        <w:pStyle w:val="Normlny1"/>
        <w:spacing w:line="240" w:lineRule="auto"/>
        <w:rPr>
          <w:sz w:val="20"/>
          <w:szCs w:val="20"/>
        </w:rPr>
      </w:pPr>
      <w:r>
        <w:rPr>
          <w:vertAlign w:val="superscript"/>
        </w:rPr>
        <w:footnoteRef/>
      </w:r>
      <w:r>
        <w:rPr>
          <w:sz w:val="20"/>
          <w:szCs w:val="20"/>
        </w:rPr>
        <w:t xml:space="preserve"> RRZ: Stanovisko k samosprávam a sankciám dlhovej brzdy, júl 2025, dostupné na </w:t>
      </w:r>
      <w:hyperlink r:id="rId1">
        <w:r>
          <w:rPr>
            <w:color w:val="1155CC"/>
            <w:sz w:val="20"/>
            <w:szCs w:val="20"/>
            <w:u w:val="single"/>
          </w:rPr>
          <w:t>https://www.rrz.sk/stanovisko/stanovisko-k-samospravam-a-sankciam-dlhovej-brzdy/</w:t>
        </w:r>
      </w:hyperlink>
      <w:r>
        <w:rPr>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5E07E8"/>
    <w:multiLevelType w:val="multilevel"/>
    <w:tmpl w:val="0A2CB22A"/>
    <w:lvl w:ilvl="0">
      <w:start w:val="1"/>
      <w:numFmt w:val="upperLetter"/>
      <w:lvlText w:val="%1."/>
      <w:lvlJc w:val="left"/>
      <w:pPr>
        <w:ind w:left="1068" w:hanging="360"/>
      </w:pPr>
      <w:rPr>
        <w:u w:val="none"/>
      </w:rPr>
    </w:lvl>
    <w:lvl w:ilvl="1">
      <w:start w:val="1"/>
      <w:numFmt w:val="lowerLetter"/>
      <w:lvlText w:val="%2."/>
      <w:lvlJc w:val="left"/>
      <w:pPr>
        <w:ind w:left="1788" w:hanging="360"/>
      </w:pPr>
      <w:rPr>
        <w:u w:val="none"/>
      </w:rPr>
    </w:lvl>
    <w:lvl w:ilvl="2">
      <w:start w:val="1"/>
      <w:numFmt w:val="lowerRoman"/>
      <w:lvlText w:val="%3."/>
      <w:lvlJc w:val="right"/>
      <w:pPr>
        <w:ind w:left="2508" w:hanging="180"/>
      </w:pPr>
      <w:rPr>
        <w:u w:val="none"/>
      </w:rPr>
    </w:lvl>
    <w:lvl w:ilvl="3">
      <w:start w:val="1"/>
      <w:numFmt w:val="decimal"/>
      <w:lvlText w:val="%4."/>
      <w:lvlJc w:val="left"/>
      <w:pPr>
        <w:ind w:left="3228" w:hanging="360"/>
      </w:pPr>
      <w:rPr>
        <w:u w:val="none"/>
      </w:rPr>
    </w:lvl>
    <w:lvl w:ilvl="4">
      <w:start w:val="1"/>
      <w:numFmt w:val="lowerLetter"/>
      <w:lvlText w:val="%5."/>
      <w:lvlJc w:val="left"/>
      <w:pPr>
        <w:ind w:left="3948" w:hanging="360"/>
      </w:pPr>
      <w:rPr>
        <w:u w:val="none"/>
      </w:rPr>
    </w:lvl>
    <w:lvl w:ilvl="5">
      <w:start w:val="1"/>
      <w:numFmt w:val="lowerRoman"/>
      <w:lvlText w:val="%6."/>
      <w:lvlJc w:val="right"/>
      <w:pPr>
        <w:ind w:left="4668" w:hanging="180"/>
      </w:pPr>
      <w:rPr>
        <w:u w:val="none"/>
      </w:rPr>
    </w:lvl>
    <w:lvl w:ilvl="6">
      <w:start w:val="1"/>
      <w:numFmt w:val="decimal"/>
      <w:lvlText w:val="%7."/>
      <w:lvlJc w:val="left"/>
      <w:pPr>
        <w:ind w:left="5388" w:hanging="360"/>
      </w:pPr>
      <w:rPr>
        <w:u w:val="none"/>
      </w:rPr>
    </w:lvl>
    <w:lvl w:ilvl="7">
      <w:start w:val="1"/>
      <w:numFmt w:val="lowerLetter"/>
      <w:lvlText w:val="%8."/>
      <w:lvlJc w:val="left"/>
      <w:pPr>
        <w:ind w:left="6108" w:hanging="360"/>
      </w:pPr>
      <w:rPr>
        <w:u w:val="none"/>
      </w:rPr>
    </w:lvl>
    <w:lvl w:ilvl="8">
      <w:start w:val="1"/>
      <w:numFmt w:val="lowerRoman"/>
      <w:lvlText w:val="%9."/>
      <w:lvlJc w:val="right"/>
      <w:pPr>
        <w:ind w:left="6828" w:hanging="180"/>
      </w:pPr>
      <w:rPr>
        <w:u w:val="none"/>
      </w:rPr>
    </w:lvl>
  </w:abstractNum>
  <w:num w:numId="1" w16cid:durableId="643461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110"/>
    <w:rsid w:val="007876F7"/>
    <w:rsid w:val="00B70132"/>
    <w:rsid w:val="00BA293F"/>
    <w:rsid w:val="00E82602"/>
    <w:rsid w:val="00ED611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D5634"/>
  <w15:chartTrackingRefBased/>
  <w15:docId w15:val="{27953842-E64B-4F98-B6D1-5BE5722E1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D6110"/>
    <w:pPr>
      <w:spacing w:after="0" w:line="276" w:lineRule="auto"/>
    </w:pPr>
    <w:rPr>
      <w:rFonts w:ascii="Arial" w:eastAsia="Arial" w:hAnsi="Arial" w:cs="Arial"/>
      <w:kern w:val="0"/>
      <w:sz w:val="22"/>
      <w:szCs w:val="22"/>
      <w:lang w:eastAsia="sk-SK"/>
      <w14:ligatures w14:val="none"/>
    </w:rPr>
  </w:style>
  <w:style w:type="paragraph" w:styleId="Nadpis1">
    <w:name w:val="heading 1"/>
    <w:basedOn w:val="Normlny"/>
    <w:next w:val="Normlny"/>
    <w:link w:val="Nadpis1Char"/>
    <w:uiPriority w:val="9"/>
    <w:qFormat/>
    <w:rsid w:val="00ED61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ED61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ED6110"/>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ED6110"/>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ED6110"/>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ED6110"/>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ED6110"/>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ED6110"/>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ED6110"/>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ED6110"/>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ED6110"/>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ED6110"/>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ED6110"/>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ED6110"/>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ED6110"/>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ED6110"/>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ED6110"/>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ED6110"/>
    <w:rPr>
      <w:rFonts w:eastAsiaTheme="majorEastAsia" w:cstheme="majorBidi"/>
      <w:color w:val="272727" w:themeColor="text1" w:themeTint="D8"/>
    </w:rPr>
  </w:style>
  <w:style w:type="paragraph" w:styleId="Nzov">
    <w:name w:val="Title"/>
    <w:basedOn w:val="Normlny"/>
    <w:next w:val="Normlny"/>
    <w:link w:val="NzovChar"/>
    <w:uiPriority w:val="10"/>
    <w:qFormat/>
    <w:rsid w:val="00ED61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ED6110"/>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ED6110"/>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ED6110"/>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ED6110"/>
    <w:pPr>
      <w:spacing w:before="160"/>
      <w:jc w:val="center"/>
    </w:pPr>
    <w:rPr>
      <w:i/>
      <w:iCs/>
      <w:color w:val="404040" w:themeColor="text1" w:themeTint="BF"/>
    </w:rPr>
  </w:style>
  <w:style w:type="character" w:customStyle="1" w:styleId="CitciaChar">
    <w:name w:val="Citácia Char"/>
    <w:basedOn w:val="Predvolenpsmoodseku"/>
    <w:link w:val="Citcia"/>
    <w:uiPriority w:val="29"/>
    <w:rsid w:val="00ED6110"/>
    <w:rPr>
      <w:i/>
      <w:iCs/>
      <w:color w:val="404040" w:themeColor="text1" w:themeTint="BF"/>
    </w:rPr>
  </w:style>
  <w:style w:type="paragraph" w:styleId="Odsekzoznamu">
    <w:name w:val="List Paragraph"/>
    <w:basedOn w:val="Normlny"/>
    <w:uiPriority w:val="34"/>
    <w:qFormat/>
    <w:rsid w:val="00ED6110"/>
    <w:pPr>
      <w:ind w:left="720"/>
      <w:contextualSpacing/>
    </w:pPr>
  </w:style>
  <w:style w:type="character" w:styleId="Intenzvnezvraznenie">
    <w:name w:val="Intense Emphasis"/>
    <w:basedOn w:val="Predvolenpsmoodseku"/>
    <w:uiPriority w:val="21"/>
    <w:qFormat/>
    <w:rsid w:val="00ED6110"/>
    <w:rPr>
      <w:i/>
      <w:iCs/>
      <w:color w:val="0F4761" w:themeColor="accent1" w:themeShade="BF"/>
    </w:rPr>
  </w:style>
  <w:style w:type="paragraph" w:styleId="Zvraznencitcia">
    <w:name w:val="Intense Quote"/>
    <w:basedOn w:val="Normlny"/>
    <w:next w:val="Normlny"/>
    <w:link w:val="ZvraznencitciaChar"/>
    <w:uiPriority w:val="30"/>
    <w:qFormat/>
    <w:rsid w:val="00ED61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ED6110"/>
    <w:rPr>
      <w:i/>
      <w:iCs/>
      <w:color w:val="0F4761" w:themeColor="accent1" w:themeShade="BF"/>
    </w:rPr>
  </w:style>
  <w:style w:type="character" w:styleId="Zvraznenodkaz">
    <w:name w:val="Intense Reference"/>
    <w:basedOn w:val="Predvolenpsmoodseku"/>
    <w:uiPriority w:val="32"/>
    <w:qFormat/>
    <w:rsid w:val="00ED6110"/>
    <w:rPr>
      <w:b/>
      <w:bCs/>
      <w:smallCaps/>
      <w:color w:val="0F4761" w:themeColor="accent1" w:themeShade="BF"/>
      <w:spacing w:val="5"/>
    </w:rPr>
  </w:style>
  <w:style w:type="paragraph" w:customStyle="1" w:styleId="Normlny1">
    <w:name w:val="Normálny1"/>
    <w:rsid w:val="00ED6110"/>
    <w:pPr>
      <w:spacing w:after="0" w:line="276" w:lineRule="auto"/>
    </w:pPr>
    <w:rPr>
      <w:rFonts w:ascii="Arial" w:eastAsia="Arial" w:hAnsi="Arial" w:cs="Arial"/>
      <w:kern w:val="0"/>
      <w:sz w:val="22"/>
      <w:szCs w:val="22"/>
      <w:lang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rrz.sk/stanovisko/stanovisko-k-samospravam-a-sankciam-dlhovej-brzdy/"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1226</Words>
  <Characters>6992</Characters>
  <DocSecurity>0</DocSecurity>
  <Lines>58</Lines>
  <Paragraphs>16</Paragraphs>
  <ScaleCrop>false</ScaleCrop>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2026-05-04T16:16:00Z</dcterms:created>
  <dcterms:modified xsi:type="dcterms:W3CDTF">2026-05-04T16:17:00Z</dcterms:modified>
</cp:coreProperties>
</file>